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B56" w:rsidRDefault="00663B56" w:rsidP="00090F63">
      <w:pPr>
        <w:spacing w:before="240" w:after="240" w:line="240" w:lineRule="auto"/>
        <w:jc w:val="center"/>
        <w:rPr>
          <w:rFonts w:ascii="Cambria" w:eastAsia="Times New Roman" w:hAnsi="Cambria" w:cs="Times New Roman"/>
          <w:color w:val="000000"/>
          <w:kern w:val="0"/>
          <w:szCs w:val="24"/>
          <w14:ligatures w14:val="none"/>
        </w:rPr>
      </w:pPr>
      <w:r>
        <w:rPr>
          <w:rFonts w:ascii="Cambria" w:eastAsia="Times New Roman" w:hAnsi="Cambria" w:cs="Times New Roman"/>
          <w:noProof/>
          <w:color w:val="000000"/>
          <w:kern w:val="0"/>
          <w:szCs w:val="24"/>
        </w:rPr>
        <w:drawing>
          <wp:inline distT="0" distB="0" distL="0" distR="0">
            <wp:extent cx="5222240" cy="941789"/>
            <wp:effectExtent l="0" t="0" r="0" b="0"/>
            <wp:docPr id="5346892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689289" name="Picture 53468928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263" cy="95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B56" w:rsidRPr="00663B56" w:rsidRDefault="00663B56" w:rsidP="00663B56">
      <w:pPr>
        <w:spacing w:before="240" w:after="240" w:line="240" w:lineRule="auto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FOR IMMEDIATE RELEASE </w:t>
      </w:r>
    </w:p>
    <w:p w:rsidR="00663B56" w:rsidRPr="00663B56" w:rsidRDefault="00663B56" w:rsidP="00663B56">
      <w:pPr>
        <w:spacing w:before="240" w:after="240" w:line="240" w:lineRule="auto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November 2</w:t>
      </w:r>
      <w:r w:rsidR="00AA6C15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5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, 2023</w:t>
      </w:r>
    </w:p>
    <w:p w:rsidR="00663B56" w:rsidRDefault="00663B56" w:rsidP="00663B56">
      <w:pPr>
        <w:spacing w:before="240" w:after="240" w:line="240" w:lineRule="auto"/>
        <w:rPr>
          <w:rFonts w:asciiTheme="minorHAnsi" w:eastAsia="Times New Roman" w:hAnsiTheme="minorHAnsi" w:cstheme="minorHAnsi"/>
          <w:color w:val="000000"/>
          <w:kern w:val="0"/>
          <w:szCs w:val="24"/>
          <w:u w:val="single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Contact: Carol Green, VP/Operations and Communications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br/>
      </w:r>
      <w:hyperlink r:id="rId6" w:history="1">
        <w:r w:rsidR="008D2704" w:rsidRPr="00663B56">
          <w:rPr>
            <w:rStyle w:val="Hyperlink"/>
            <w:rFonts w:asciiTheme="minorHAnsi" w:eastAsia="Times New Roman" w:hAnsiTheme="minorHAnsi" w:cstheme="minorHAnsi"/>
            <w:kern w:val="0"/>
            <w:szCs w:val="24"/>
            <w14:ligatures w14:val="none"/>
          </w:rPr>
          <w:t>carolgreen2@icloud.com</w:t>
        </w:r>
      </w:hyperlink>
    </w:p>
    <w:p w:rsidR="008D2704" w:rsidRPr="00663B56" w:rsidRDefault="00751021" w:rsidP="008D2704">
      <w:pPr>
        <w:spacing w:before="240" w:after="240" w:line="240" w:lineRule="auto"/>
        <w:jc w:val="center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SCHOLAR OUTLINES HOW </w:t>
      </w:r>
      <w:r w:rsidR="008D2704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GERMANY IS ST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RENGTHENING</w:t>
      </w:r>
      <w:r w:rsidR="008D2704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ITS </w:t>
      </w:r>
      <w:r w:rsidR="008D2704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LEADERSHIP ROLE</w:t>
      </w:r>
    </w:p>
    <w:p w:rsidR="00BB4E6C" w:rsidRDefault="008D2704" w:rsidP="00663B56">
      <w:pPr>
        <w:spacing w:before="240" w:after="240" w:line="240" w:lineRule="auto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Germany’s historical role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during the Nazi period 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in Ukraine and the Holocaust have shaped its reticent policies in Europe in recent decades, but it is beginning to step </w:t>
      </w:r>
      <w:r w:rsidR="009E61C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more forcefully 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into a leadership role, an expert on German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y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told members of the Naples Council on World Affairs.</w:t>
      </w:r>
    </w:p>
    <w:p w:rsidR="00663B56" w:rsidRPr="00663B56" w:rsidRDefault="00663B56" w:rsidP="00663B56">
      <w:pPr>
        <w:spacing w:before="240" w:after="240" w:line="240" w:lineRule="auto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A distinguished faculty member at George Washington University, Dr. </w:t>
      </w:r>
      <w:r w:rsidR="00090F63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Hope 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Harrison</w:t>
      </w:r>
      <w:r w:rsidR="002E2865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,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delivered a lecture, “The New Germany,”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examin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ing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Germany's reactions to Russia's invasion of Ukraine and the reverberations of the Hamas-Israel War, exp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laining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the historical ties that bind Germany to these regions and its evolving domestic and foreign policies. </w:t>
      </w:r>
    </w:p>
    <w:p w:rsidR="009E61C6" w:rsidRPr="00663B56" w:rsidRDefault="00663B56" w:rsidP="009E61C6">
      <w:pPr>
        <w:spacing w:before="240" w:after="240" w:line="240" w:lineRule="auto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Dr. Harrison's </w:t>
      </w:r>
      <w:r w:rsidR="009E61C6"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in-depth exploration of Germany's post-World War II relations with the Soviet Union and Russia</w:t>
      </w:r>
      <w:r w:rsidR="009E61C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took </w:t>
      </w:r>
      <w:r w:rsidR="009E61C6"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the audience on a journey through the Cold War era to the recent challenges posed by Russia's actions in Ukraine</w:t>
      </w:r>
      <w:r w:rsidR="00D56565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, leading Germany to evaluate its global responsibilities</w:t>
      </w:r>
      <w:r w:rsidR="009E61C6"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.</w:t>
      </w:r>
    </w:p>
    <w:p w:rsidR="00663B56" w:rsidRPr="00663B56" w:rsidRDefault="00663B56" w:rsidP="00663B56">
      <w:pPr>
        <w:spacing w:before="240" w:after="240" w:line="240" w:lineRule="auto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"The German (W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orld 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W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ar 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II) attack on the Soviet Union went directly through what was then Soviet Ukraine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,” she said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. 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“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In the process of the Nazi attack on the Soviet Union in Soviet Ukraine, three and a half million civilians were killed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.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" </w:t>
      </w:r>
    </w:p>
    <w:p w:rsidR="00663B56" w:rsidRPr="00663B56" w:rsidRDefault="009E61C6" w:rsidP="00663B56">
      <w:pPr>
        <w:spacing w:before="240" w:after="240" w:line="240" w:lineRule="auto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A more recent concern is that </w:t>
      </w:r>
      <w:r w:rsidR="00663B56"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"Germany and Russia are separated only by Poland. It takes about 13 hours to drive from the German border across Poland to the Ukrainian border. 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Thirteen</w:t>
      </w:r>
      <w:r w:rsidR="00663B56"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hours is very close. The war has led to massive changes in German policies," said Dr. Harrison.</w:t>
      </w:r>
    </w:p>
    <w:p w:rsidR="00663B56" w:rsidRPr="00663B56" w:rsidRDefault="009E61C6" w:rsidP="00663B56">
      <w:pPr>
        <w:spacing w:before="240" w:after="240" w:line="240" w:lineRule="auto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Dr. Harrison highlighted the significant role Germany played in 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trying to 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mediat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e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between Russia and Ukraine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to avoid conflict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, diplomatic efforts that preceded the 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Russian invasion. When mediation failed, t</w:t>
      </w:r>
      <w:r w:rsidR="00663B56"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he impact of Russia's invasion of Ukraine prompt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ed</w:t>
      </w:r>
      <w:r w:rsidR="00663B56"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Germany to reassess its energy sources and navigate the complexities of global sanctions. 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After the conflict broke out, Germany faced economic repercussions. </w:t>
      </w:r>
      <w:r w:rsidR="00663B56"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"The reduction of the key energy supplies from Russia led to increased costs of most things. Inflation reached the highest it had 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been </w:t>
      </w:r>
      <w:r w:rsidR="00663B56"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since World War II a year ago when it was 10.4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percent</w:t>
      </w:r>
      <w:r w:rsidR="00663B56"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," said Dr. Harrison.</w:t>
      </w:r>
    </w:p>
    <w:p w:rsidR="003E015B" w:rsidRDefault="00663B56" w:rsidP="00663B56">
      <w:pPr>
        <w:spacing w:before="240" w:after="240" w:line="240" w:lineRule="auto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“Nord Stream 2 was constructed from 2018 to 2021. If the second gas pipeline had been opened, it would've increased German gas dependency on Russia from 55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percent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to 75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percent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,” she 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lastRenderedPageBreak/>
        <w:t xml:space="preserve">said.  </w:t>
      </w:r>
      <w:r w:rsidR="009E61C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“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The U.S. in 2020 sanctioned companies involved in building Nord Stream 2, and as Russia kept building up troops on the border of Ukraine in the winters of 2020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,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2021 and 2022, the U.S. continued to pressure the new German government that came into office in the fall of 2021 under Chancellor Olaf Schultz,” she said.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“Days before Russia attacked, Germany stopped the process of moving ahead with opening that second gas pipeline.” </w:t>
      </w:r>
    </w:p>
    <w:p w:rsidR="00663B56" w:rsidRPr="00663B56" w:rsidRDefault="00663B56" w:rsidP="00663B56">
      <w:pPr>
        <w:spacing w:before="240" w:after="240" w:line="240" w:lineRule="auto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She noted that the U.S. imposed sanctions on companies engaged in building Nord Stream 2 because of its concerns about the growing dependency of Germany on Russian gas and potential military use of German knowhow in Russia.</w:t>
      </w:r>
    </w:p>
    <w:p w:rsidR="00663B56" w:rsidRPr="00663B56" w:rsidRDefault="00663B56" w:rsidP="00663B56">
      <w:pPr>
        <w:spacing w:before="240" w:after="240" w:line="240" w:lineRule="auto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After the invasion, Chancellor Schultz 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told 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the Bundestag</w:t>
      </w:r>
      <w:r w:rsidR="00095A27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, the German parliament,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</w:t>
      </w:r>
      <w:r w:rsidR="003E015B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that 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the invasion required an epic change in German policy</w:t>
      </w:r>
      <w:r w:rsidR="00090F63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and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proposed five ways </w:t>
      </w:r>
      <w:r w:rsidR="00095A27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that 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policy would change: </w:t>
      </w:r>
    </w:p>
    <w:p w:rsidR="00663B56" w:rsidRPr="00663B56" w:rsidRDefault="00663B56" w:rsidP="00663B56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“We stand behind Ukraine, we will help Ukraine.”</w:t>
      </w:r>
    </w:p>
    <w:p w:rsidR="00663B56" w:rsidRPr="00663B56" w:rsidRDefault="009E61C6" w:rsidP="00663B56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Impose s</w:t>
      </w:r>
      <w:r w:rsidR="00663B56"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anction</w:t>
      </w:r>
      <w:r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s on</w:t>
      </w:r>
      <w:r w:rsidR="00663B56"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Russia to try to push Putin to back down from the war. </w:t>
      </w:r>
    </w:p>
    <w:p w:rsidR="00663B56" w:rsidRPr="00663B56" w:rsidRDefault="00663B56" w:rsidP="00663B56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Prevent th</w:t>
      </w:r>
      <w:r w:rsidR="009E61C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e 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war from spreading beyond Ukraine</w:t>
      </w:r>
      <w:r w:rsidR="00090F63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by defending “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every inch of NATO territory</w:t>
      </w:r>
      <w:r w:rsidR="00090F63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.”</w:t>
      </w:r>
    </w:p>
    <w:p w:rsidR="00663B56" w:rsidRPr="00663B56" w:rsidRDefault="00663B56" w:rsidP="00663B56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Build up the German armed forces</w:t>
      </w:r>
      <w:r w:rsidR="00090F63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, devoting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</w:t>
      </w:r>
      <w:r w:rsidR="009E61C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100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billion Euros and invest</w:t>
      </w:r>
      <w:r w:rsidR="00090F63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ing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more than 2</w:t>
      </w:r>
      <w:r w:rsidR="009E61C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percent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of GDP required per year within NATO.</w:t>
      </w:r>
    </w:p>
    <w:p w:rsidR="00663B56" w:rsidRPr="00663B56" w:rsidRDefault="00663B56" w:rsidP="00663B56">
      <w:pPr>
        <w:numPr>
          <w:ilvl w:val="0"/>
          <w:numId w:val="1"/>
        </w:numPr>
        <w:spacing w:after="240" w:line="240" w:lineRule="auto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Guarantee a secure energy supply for Germany for the future</w:t>
      </w:r>
      <w:r w:rsidR="009E61C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.</w:t>
      </w:r>
    </w:p>
    <w:p w:rsidR="00663B56" w:rsidRPr="00663B56" w:rsidRDefault="00663B56" w:rsidP="00663B56">
      <w:pPr>
        <w:spacing w:before="240" w:after="240" w:line="240" w:lineRule="auto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Dr. Harrison also explored Germany's response to the Israel-Hamas war, and the historical context of Germany's commitment to Holocaust remembrance and the challenges posed by rising antisemitism in the aftermath of recent events.</w:t>
      </w:r>
    </w:p>
    <w:p w:rsidR="00663B56" w:rsidRPr="00663B56" w:rsidRDefault="00663B56" w:rsidP="00663B56">
      <w:pPr>
        <w:spacing w:before="240" w:after="240" w:line="240" w:lineRule="auto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"After World War II, West Germany signed an agreement with Israel in 1952 on reparations, the Luxembourg </w:t>
      </w:r>
      <w:r w:rsidR="008D2704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A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greement</w:t>
      </w:r>
      <w:r w:rsidR="008D2704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,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where they paid 3 billion Deutsche </w:t>
      </w:r>
      <w:r w:rsidR="008D2704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m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arks over about 10 years to Israel," Dr. Harrison said. She outlined the historical reparations that have shaped Germany's</w:t>
      </w:r>
      <w:r w:rsidR="00BB4E6C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relationship with Israel, underscoring the complexities of balancing support for Israel with concerns about Palestinian rights.</w:t>
      </w:r>
    </w:p>
    <w:p w:rsidR="00663B56" w:rsidRPr="00663B56" w:rsidRDefault="00663B56" w:rsidP="00663B56">
      <w:pPr>
        <w:spacing w:before="240" w:after="240" w:line="240" w:lineRule="auto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For more information on the lecture series, go to 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:u w:val="single"/>
          <w14:ligatures w14:val="none"/>
        </w:rPr>
        <w:t>www.ncwa-fl.org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and click on Lectures. Lectures are exclusively available to members. NCWA is accepting members at 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:u w:val="single"/>
          <w14:ligatures w14:val="none"/>
        </w:rPr>
        <w:t>www.ncwa-fl.org/membership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.</w:t>
      </w:r>
    </w:p>
    <w:p w:rsidR="00663B56" w:rsidRPr="00663B56" w:rsidRDefault="00663B56" w:rsidP="00663B56">
      <w:pPr>
        <w:spacing w:before="240" w:after="240" w:line="240" w:lineRule="auto"/>
        <w:rPr>
          <w:rFonts w:asciiTheme="minorHAnsi" w:eastAsia="Times New Roman" w:hAnsiTheme="minorHAnsi" w:cstheme="minorHAnsi"/>
          <w:b/>
          <w:bCs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b/>
          <w:bCs/>
          <w:color w:val="000000"/>
          <w:kern w:val="0"/>
          <w:szCs w:val="24"/>
          <w14:ligatures w14:val="none"/>
        </w:rPr>
        <w:t>About NCWA</w:t>
      </w:r>
    </w:p>
    <w:p w:rsidR="00663B56" w:rsidRPr="00663B56" w:rsidRDefault="00663B56" w:rsidP="00663B56">
      <w:pPr>
        <w:spacing w:before="240" w:after="240" w:line="240" w:lineRule="auto"/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Over the last 40 years, NCWA has been providing the greater Naples area’s globally curious full-time and seasonal residents with a complete international affairs experience that is nonpartisan and policy focused. NCWA is a nonprofit that has 1,600+ members from Collier and Lee counties and is a member of the World Affairs Council</w:t>
      </w:r>
      <w:r w:rsidR="00BB4E6C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>s</w:t>
      </w:r>
      <w:r w:rsidRPr="00663B56">
        <w:rPr>
          <w:rFonts w:asciiTheme="minorHAnsi" w:eastAsia="Times New Roman" w:hAnsiTheme="minorHAnsi" w:cstheme="minorHAnsi"/>
          <w:color w:val="000000"/>
          <w:kern w:val="0"/>
          <w:szCs w:val="24"/>
          <w14:ligatures w14:val="none"/>
        </w:rPr>
        <w:t xml:space="preserve"> of America, which has 93 chapters in 40 states and more than 90,000 members. NCWA’s mission is to educate, inspire and engage our community in international affairs and critical global issues.</w:t>
      </w:r>
    </w:p>
    <w:p w:rsidR="0098199B" w:rsidRPr="00095A27" w:rsidRDefault="00663B56" w:rsidP="00090F63">
      <w:pPr>
        <w:spacing w:before="240" w:after="240" w:line="240" w:lineRule="auto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</w:pPr>
      <w:r w:rsidRPr="00663B56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>Naples Council on World Affairs</w:t>
      </w:r>
      <w:r w:rsidR="00BB4E6C" w:rsidRPr="00095A27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br/>
      </w:r>
      <w:r w:rsidRPr="00663B56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>2316 Pine Ridge Road #361, Naples, Florida 34109-2006</w:t>
      </w:r>
      <w:r w:rsidR="00BB4E6C" w:rsidRPr="00095A27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br/>
      </w:r>
      <w:r w:rsidRPr="00663B56">
        <w:rPr>
          <w:rFonts w:asciiTheme="minorHAnsi" w:eastAsia="Times New Roman" w:hAnsiTheme="minorHAnsi" w:cstheme="minorHAnsi"/>
          <w:color w:val="000000"/>
          <w:kern w:val="0"/>
          <w:sz w:val="22"/>
          <w:u w:val="single"/>
          <w14:ligatures w14:val="none"/>
        </w:rPr>
        <w:t xml:space="preserve">ncwaorg@gmail.com </w:t>
      </w:r>
      <w:r w:rsidR="00BB4E6C" w:rsidRPr="00095A27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 xml:space="preserve">            </w:t>
      </w:r>
      <w:r w:rsidRPr="00663B56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 xml:space="preserve">| </w:t>
      </w:r>
      <w:r w:rsidR="00BB4E6C" w:rsidRPr="00095A27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 xml:space="preserve">           </w:t>
      </w:r>
      <w:r w:rsidRPr="00663B56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 xml:space="preserve">239-649-3942 </w:t>
      </w:r>
      <w:r w:rsidR="00BB4E6C" w:rsidRPr="00095A27">
        <w:rPr>
          <w:rFonts w:asciiTheme="minorHAnsi" w:eastAsia="Times New Roman" w:hAnsiTheme="minorHAnsi" w:cstheme="minorHAnsi"/>
          <w:color w:val="000000"/>
          <w:kern w:val="0"/>
          <w:sz w:val="22"/>
          <w14:ligatures w14:val="none"/>
        </w:rPr>
        <w:t xml:space="preserve">         |           </w:t>
      </w:r>
      <w:r w:rsidRPr="00663B56">
        <w:rPr>
          <w:rFonts w:asciiTheme="minorHAnsi" w:eastAsia="Times New Roman" w:hAnsiTheme="minorHAnsi" w:cstheme="minorHAnsi"/>
          <w:color w:val="000000"/>
          <w:kern w:val="0"/>
          <w:sz w:val="22"/>
          <w:u w:val="single"/>
          <w14:ligatures w14:val="none"/>
        </w:rPr>
        <w:t>https://www.ncwa-fl.org</w:t>
      </w:r>
    </w:p>
    <w:sectPr w:rsidR="0098199B" w:rsidRPr="00095A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320D8"/>
    <w:multiLevelType w:val="multilevel"/>
    <w:tmpl w:val="756C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37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56"/>
    <w:rsid w:val="00090F63"/>
    <w:rsid w:val="00095A27"/>
    <w:rsid w:val="002E2865"/>
    <w:rsid w:val="003E015B"/>
    <w:rsid w:val="00476FB2"/>
    <w:rsid w:val="005D63C4"/>
    <w:rsid w:val="005F45B3"/>
    <w:rsid w:val="00663B56"/>
    <w:rsid w:val="00751021"/>
    <w:rsid w:val="008D2704"/>
    <w:rsid w:val="0098199B"/>
    <w:rsid w:val="009E61C6"/>
    <w:rsid w:val="00AA6C15"/>
    <w:rsid w:val="00B4667B"/>
    <w:rsid w:val="00BB4E6C"/>
    <w:rsid w:val="00D56565"/>
    <w:rsid w:val="00D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4FA8C"/>
  <w15:chartTrackingRefBased/>
  <w15:docId w15:val="{6548953C-A228-ED4A-9834-504F54D4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Bidi" w:eastAsiaTheme="minorHAnsi" w:hAnsiTheme="minorBidi" w:cs="Times New Roman (Body CS)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D2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green2@iclou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Green</dc:creator>
  <cp:keywords/>
  <dc:description/>
  <cp:lastModifiedBy>Carol Green</cp:lastModifiedBy>
  <cp:revision>8</cp:revision>
  <dcterms:created xsi:type="dcterms:W3CDTF">2023-11-24T20:02:00Z</dcterms:created>
  <dcterms:modified xsi:type="dcterms:W3CDTF">2023-11-25T20:17:00Z</dcterms:modified>
</cp:coreProperties>
</file>